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D4E" w:rsidRDefault="00781D4E" w:rsidP="00781D4E">
      <w:pPr>
        <w:bidi/>
      </w:pPr>
      <w:r w:rsidRPr="004D40D8">
        <w:rPr>
          <w:rFonts w:hint="cs"/>
          <w:b/>
          <w:bCs/>
          <w:sz w:val="36"/>
          <w:szCs w:val="36"/>
          <w:rtl/>
        </w:rPr>
        <w:t>مقدمة</w:t>
      </w:r>
    </w:p>
    <w:p w:rsidR="00781D4E" w:rsidRPr="00B229C0" w:rsidRDefault="00781D4E" w:rsidP="00781D4E">
      <w:pPr>
        <w:bidi/>
        <w:rPr>
          <w:b/>
          <w:bCs/>
          <w:sz w:val="28"/>
          <w:szCs w:val="28"/>
          <w:rtl/>
        </w:rPr>
      </w:pPr>
      <w:r w:rsidRPr="00B229C0">
        <w:rPr>
          <w:rFonts w:hint="cs"/>
          <w:b/>
          <w:bCs/>
          <w:sz w:val="28"/>
          <w:szCs w:val="28"/>
          <w:rtl/>
        </w:rPr>
        <w:t xml:space="preserve">الفصل الأول: مدى </w:t>
      </w:r>
      <w:r>
        <w:rPr>
          <w:rFonts w:hint="cs"/>
          <w:b/>
          <w:bCs/>
          <w:sz w:val="28"/>
          <w:szCs w:val="28"/>
          <w:rtl/>
        </w:rPr>
        <w:t>إ</w:t>
      </w:r>
      <w:r w:rsidRPr="00B229C0">
        <w:rPr>
          <w:rFonts w:hint="cs"/>
          <w:b/>
          <w:bCs/>
          <w:sz w:val="28"/>
          <w:szCs w:val="28"/>
          <w:rtl/>
        </w:rPr>
        <w:t>ستقلالية السلطة القضائية من الناحية الشكلية</w:t>
      </w:r>
    </w:p>
    <w:p w:rsidR="00781D4E" w:rsidRPr="00B229C0" w:rsidRDefault="00781D4E" w:rsidP="00781D4E">
      <w:pPr>
        <w:bidi/>
        <w:rPr>
          <w:b/>
          <w:bCs/>
          <w:sz w:val="28"/>
          <w:szCs w:val="28"/>
          <w:rtl/>
        </w:rPr>
      </w:pPr>
      <w:r w:rsidRPr="00B229C0">
        <w:rPr>
          <w:rFonts w:hint="cs"/>
          <w:b/>
          <w:bCs/>
          <w:sz w:val="28"/>
          <w:szCs w:val="28"/>
          <w:rtl/>
        </w:rPr>
        <w:t>المبحث الأول: التأرجح بين الوظيفة القضائية والسلطة القضائية</w:t>
      </w:r>
    </w:p>
    <w:p w:rsidR="00781D4E" w:rsidRPr="00BD051B" w:rsidRDefault="00781D4E" w:rsidP="00781D4E">
      <w:pPr>
        <w:bidi/>
        <w:rPr>
          <w:b/>
          <w:bCs/>
          <w:sz w:val="28"/>
          <w:szCs w:val="28"/>
          <w:rtl/>
        </w:rPr>
      </w:pPr>
      <w:r w:rsidRPr="00BD051B">
        <w:rPr>
          <w:rFonts w:hint="cs"/>
          <w:b/>
          <w:bCs/>
          <w:sz w:val="28"/>
          <w:szCs w:val="28"/>
          <w:rtl/>
        </w:rPr>
        <w:t>المطلب الأول: الإطار البشري والهيكلي لمرفق القضاء</w:t>
      </w:r>
    </w:p>
    <w:p w:rsidR="00781D4E" w:rsidRDefault="00781D4E" w:rsidP="00781D4E">
      <w:pPr>
        <w:bidi/>
      </w:pPr>
      <w:r w:rsidRPr="00CF54AE">
        <w:rPr>
          <w:rFonts w:hint="cs"/>
          <w:b/>
          <w:bCs/>
          <w:sz w:val="28"/>
          <w:szCs w:val="28"/>
          <w:rtl/>
        </w:rPr>
        <w:t>الفرع الأول: الاقتصار على طريقة تعيين القضاة</w:t>
      </w:r>
    </w:p>
    <w:p w:rsidR="00781D4E" w:rsidRPr="006104AE" w:rsidRDefault="00781D4E" w:rsidP="00781D4E">
      <w:pPr>
        <w:bidi/>
        <w:rPr>
          <w:b/>
          <w:bCs/>
          <w:sz w:val="28"/>
          <w:szCs w:val="28"/>
          <w:rtl/>
        </w:rPr>
      </w:pPr>
      <w:r w:rsidRPr="006104AE">
        <w:rPr>
          <w:rFonts w:hint="cs"/>
          <w:b/>
          <w:bCs/>
          <w:sz w:val="28"/>
          <w:szCs w:val="28"/>
          <w:rtl/>
        </w:rPr>
        <w:t>الفرع الثاني: الهيكل القضائي</w:t>
      </w:r>
    </w:p>
    <w:p w:rsidR="00FE4AAC" w:rsidRPr="00B45D99" w:rsidRDefault="00FE4AAC" w:rsidP="00FE4AAC">
      <w:pPr>
        <w:bidi/>
        <w:rPr>
          <w:b/>
          <w:bCs/>
          <w:sz w:val="28"/>
          <w:szCs w:val="28"/>
          <w:rtl/>
        </w:rPr>
      </w:pPr>
      <w:r w:rsidRPr="00B45D99">
        <w:rPr>
          <w:rFonts w:hint="cs"/>
          <w:b/>
          <w:bCs/>
          <w:sz w:val="28"/>
          <w:szCs w:val="28"/>
          <w:rtl/>
        </w:rPr>
        <w:t>أولا: أجهزة النظام القضائي العادي</w:t>
      </w:r>
    </w:p>
    <w:p w:rsidR="00FE4AAC" w:rsidRPr="00400769" w:rsidRDefault="00FE4AAC" w:rsidP="00FE4AAC">
      <w:pPr>
        <w:pStyle w:val="Paragraphedeliste"/>
        <w:tabs>
          <w:tab w:val="center" w:pos="4896"/>
          <w:tab w:val="right" w:pos="9072"/>
        </w:tabs>
        <w:bidi/>
        <w:ind w:left="0"/>
        <w:jc w:val="left"/>
        <w:rPr>
          <w:b/>
          <w:bCs/>
          <w:sz w:val="28"/>
          <w:szCs w:val="28"/>
          <w:rtl/>
        </w:rPr>
      </w:pPr>
      <w:r w:rsidRPr="00400769">
        <w:rPr>
          <w:rFonts w:hint="cs"/>
          <w:b/>
          <w:bCs/>
          <w:sz w:val="28"/>
          <w:szCs w:val="28"/>
          <w:rtl/>
        </w:rPr>
        <w:t>ثانيا: الجهات القضائية الإدارية</w:t>
      </w:r>
    </w:p>
    <w:p w:rsidR="00FE4AAC" w:rsidRDefault="00FE4AAC" w:rsidP="00781D4E">
      <w:pPr>
        <w:bidi/>
      </w:pPr>
      <w:r w:rsidRPr="009924AF">
        <w:rPr>
          <w:rFonts w:hint="cs"/>
          <w:b/>
          <w:bCs/>
          <w:sz w:val="28"/>
          <w:szCs w:val="28"/>
          <w:rtl/>
        </w:rPr>
        <w:t>ثالثا: محكمة التنازع</w:t>
      </w:r>
    </w:p>
    <w:p w:rsidR="00FE4AAC" w:rsidRPr="003D13A6" w:rsidRDefault="00FE4AAC" w:rsidP="00FE4AAC">
      <w:pPr>
        <w:pStyle w:val="Paragraphedeliste"/>
        <w:tabs>
          <w:tab w:val="center" w:pos="4896"/>
          <w:tab w:val="right" w:pos="9072"/>
        </w:tabs>
        <w:bidi/>
        <w:ind w:left="0"/>
        <w:jc w:val="left"/>
        <w:rPr>
          <w:b/>
          <w:bCs/>
          <w:sz w:val="28"/>
          <w:szCs w:val="28"/>
          <w:rtl/>
        </w:rPr>
      </w:pPr>
      <w:r w:rsidRPr="003D13A6">
        <w:rPr>
          <w:rFonts w:hint="cs"/>
          <w:b/>
          <w:bCs/>
          <w:sz w:val="28"/>
          <w:szCs w:val="28"/>
          <w:rtl/>
        </w:rPr>
        <w:t>رابعا: الجهات القضائية الجزائية المتخصصة</w:t>
      </w:r>
    </w:p>
    <w:p w:rsidR="00FE4AAC" w:rsidRPr="00372477" w:rsidRDefault="00FE4AAC" w:rsidP="00FE4AAC">
      <w:pPr>
        <w:pStyle w:val="Paragraphedeliste"/>
        <w:tabs>
          <w:tab w:val="center" w:pos="4896"/>
          <w:tab w:val="right" w:pos="9072"/>
        </w:tabs>
        <w:bidi/>
        <w:ind w:left="0"/>
        <w:jc w:val="left"/>
        <w:rPr>
          <w:b/>
          <w:bCs/>
          <w:sz w:val="28"/>
          <w:szCs w:val="28"/>
          <w:rtl/>
        </w:rPr>
      </w:pPr>
      <w:r w:rsidRPr="00372477">
        <w:rPr>
          <w:rFonts w:hint="cs"/>
          <w:b/>
          <w:bCs/>
          <w:sz w:val="28"/>
          <w:szCs w:val="28"/>
          <w:rtl/>
        </w:rPr>
        <w:t>خامسا: أجهزة الإدارة القضائية</w:t>
      </w:r>
      <w:r>
        <w:rPr>
          <w:b/>
          <w:bCs/>
          <w:sz w:val="28"/>
          <w:szCs w:val="28"/>
        </w:rPr>
        <w:t> </w:t>
      </w:r>
    </w:p>
    <w:p w:rsidR="00FE4AAC" w:rsidRPr="00901BC1" w:rsidRDefault="00FE4AAC" w:rsidP="005A6E75">
      <w:pPr>
        <w:pStyle w:val="Paragraphedeliste"/>
        <w:tabs>
          <w:tab w:val="center" w:pos="4896"/>
          <w:tab w:val="right" w:pos="9072"/>
        </w:tabs>
        <w:bidi/>
        <w:ind w:left="0"/>
        <w:jc w:val="left"/>
        <w:rPr>
          <w:b/>
          <w:bCs/>
          <w:sz w:val="28"/>
          <w:szCs w:val="28"/>
          <w:rtl/>
          <w:lang w:bidi="ar-DZ"/>
        </w:rPr>
      </w:pPr>
      <w:r w:rsidRPr="00901BC1">
        <w:rPr>
          <w:rFonts w:hint="cs"/>
          <w:b/>
          <w:bCs/>
          <w:sz w:val="28"/>
          <w:szCs w:val="28"/>
          <w:rtl/>
          <w:lang w:bidi="ar-DZ"/>
        </w:rPr>
        <w:t>المطلب الثاني: التحول من الوظيفة القضائية إلى السلطة القضائية</w:t>
      </w:r>
    </w:p>
    <w:p w:rsidR="005A6E75" w:rsidRDefault="005A6E75" w:rsidP="005A6E75">
      <w:pPr>
        <w:pStyle w:val="Paragraphedeliste"/>
        <w:tabs>
          <w:tab w:val="center" w:pos="4896"/>
          <w:tab w:val="right" w:pos="9072"/>
        </w:tabs>
        <w:bidi/>
        <w:ind w:left="0"/>
        <w:jc w:val="left"/>
        <w:rPr>
          <w:b/>
          <w:bCs/>
          <w:sz w:val="28"/>
          <w:szCs w:val="28"/>
          <w:lang w:val="en-US" w:bidi="ar-DZ"/>
        </w:rPr>
      </w:pPr>
      <w:r w:rsidRPr="00590EB6">
        <w:rPr>
          <w:rFonts w:hint="cs"/>
          <w:b/>
          <w:bCs/>
          <w:sz w:val="28"/>
          <w:szCs w:val="28"/>
          <w:rtl/>
          <w:lang w:bidi="ar-DZ"/>
        </w:rPr>
        <w:t>الفرع الأول: كيفية التحول في دستو</w:t>
      </w:r>
      <w:r>
        <w:rPr>
          <w:rFonts w:hint="cs"/>
          <w:b/>
          <w:bCs/>
          <w:sz w:val="28"/>
          <w:szCs w:val="28"/>
          <w:rtl/>
          <w:lang w:bidi="ar-DZ"/>
        </w:rPr>
        <w:t>ر</w:t>
      </w:r>
      <w:r w:rsidRPr="00590EB6">
        <w:rPr>
          <w:rFonts w:hint="cs"/>
          <w:b/>
          <w:bCs/>
          <w:sz w:val="28"/>
          <w:szCs w:val="28"/>
          <w:rtl/>
          <w:lang w:bidi="ar-DZ"/>
        </w:rPr>
        <w:t>1989</w:t>
      </w:r>
    </w:p>
    <w:p w:rsidR="005A6E75" w:rsidRPr="002E2BAC" w:rsidRDefault="005A6E75" w:rsidP="005A6E75">
      <w:pPr>
        <w:pStyle w:val="Paragraphedeliste"/>
        <w:tabs>
          <w:tab w:val="center" w:pos="4896"/>
          <w:tab w:val="right" w:pos="9072"/>
        </w:tabs>
        <w:bidi/>
        <w:ind w:left="0"/>
        <w:jc w:val="left"/>
        <w:rPr>
          <w:b/>
          <w:bCs/>
          <w:sz w:val="28"/>
          <w:szCs w:val="28"/>
          <w:rtl/>
        </w:rPr>
      </w:pPr>
      <w:r w:rsidRPr="002E2BAC">
        <w:rPr>
          <w:rFonts w:hint="cs"/>
          <w:b/>
          <w:bCs/>
          <w:sz w:val="28"/>
          <w:szCs w:val="28"/>
          <w:rtl/>
        </w:rPr>
        <w:t>الفرع الثاني: السلطة القضائية في دستور 1996</w:t>
      </w:r>
    </w:p>
    <w:p w:rsidR="005A6E75" w:rsidRPr="00032E66" w:rsidRDefault="005A6E75" w:rsidP="005A6E75">
      <w:pPr>
        <w:pStyle w:val="Paragraphedeliste"/>
        <w:tabs>
          <w:tab w:val="center" w:pos="4896"/>
          <w:tab w:val="right" w:pos="9072"/>
        </w:tabs>
        <w:bidi/>
        <w:ind w:left="0"/>
        <w:jc w:val="left"/>
        <w:rPr>
          <w:b/>
          <w:bCs/>
          <w:sz w:val="28"/>
          <w:szCs w:val="28"/>
          <w:rtl/>
        </w:rPr>
      </w:pPr>
      <w:r w:rsidRPr="00032E66">
        <w:rPr>
          <w:rFonts w:hint="cs"/>
          <w:b/>
          <w:bCs/>
          <w:sz w:val="28"/>
          <w:szCs w:val="28"/>
          <w:rtl/>
        </w:rPr>
        <w:t>أولا: المبادئ الأساسية للنظام القضائي الجزائري</w:t>
      </w:r>
    </w:p>
    <w:p w:rsidR="005A6E75" w:rsidRDefault="005A6E75" w:rsidP="005A6E75">
      <w:pPr>
        <w:bidi/>
        <w:rPr>
          <w:lang w:val="en-US"/>
        </w:rPr>
      </w:pPr>
      <w:r w:rsidRPr="00986D16">
        <w:rPr>
          <w:rFonts w:hint="cs"/>
          <w:b/>
          <w:bCs/>
          <w:sz w:val="28"/>
          <w:szCs w:val="28"/>
          <w:rtl/>
        </w:rPr>
        <w:t>ثانيا: تفعيل العدالة الجوارية</w:t>
      </w:r>
    </w:p>
    <w:p w:rsidR="005A6E75" w:rsidRDefault="005A6E75" w:rsidP="005A6E75">
      <w:pPr>
        <w:bidi/>
        <w:rPr>
          <w:lang w:val="en-US"/>
        </w:rPr>
      </w:pPr>
      <w:r w:rsidRPr="00F15003">
        <w:rPr>
          <w:rFonts w:hint="cs"/>
          <w:b/>
          <w:bCs/>
          <w:sz w:val="28"/>
          <w:szCs w:val="28"/>
          <w:rtl/>
        </w:rPr>
        <w:t>ثالثا: القضاء المتخصص</w:t>
      </w:r>
    </w:p>
    <w:p w:rsidR="005A6E75" w:rsidRDefault="005A6E75" w:rsidP="005A6E75">
      <w:pPr>
        <w:bidi/>
        <w:rPr>
          <w:lang w:val="en-US"/>
        </w:rPr>
      </w:pPr>
      <w:r w:rsidRPr="00FE02BE">
        <w:rPr>
          <w:rFonts w:hint="cs"/>
          <w:b/>
          <w:bCs/>
          <w:sz w:val="28"/>
          <w:szCs w:val="28"/>
          <w:rtl/>
        </w:rPr>
        <w:t>المبحث الثاني: ا</w:t>
      </w:r>
      <w:r>
        <w:rPr>
          <w:rFonts w:hint="cs"/>
          <w:b/>
          <w:bCs/>
          <w:sz w:val="28"/>
          <w:szCs w:val="28"/>
          <w:rtl/>
        </w:rPr>
        <w:t>لإ</w:t>
      </w:r>
      <w:r w:rsidRPr="00FE02BE">
        <w:rPr>
          <w:rFonts w:hint="cs"/>
          <w:b/>
          <w:bCs/>
          <w:sz w:val="28"/>
          <w:szCs w:val="28"/>
          <w:rtl/>
        </w:rPr>
        <w:t>ستقلال العضوي النسبي للقضاة في ظل دساتير الجزائر</w:t>
      </w:r>
    </w:p>
    <w:p w:rsidR="005A6E75" w:rsidRPr="009371C9" w:rsidRDefault="005A6E75" w:rsidP="005A6E75">
      <w:pPr>
        <w:bidi/>
        <w:rPr>
          <w:b/>
          <w:bCs/>
          <w:sz w:val="28"/>
          <w:szCs w:val="28"/>
          <w:rtl/>
        </w:rPr>
      </w:pPr>
      <w:r w:rsidRPr="009371C9">
        <w:rPr>
          <w:rFonts w:hint="cs"/>
          <w:b/>
          <w:bCs/>
          <w:sz w:val="28"/>
          <w:szCs w:val="28"/>
          <w:rtl/>
        </w:rPr>
        <w:t>المطلب الأول: نطاق تأثير السلطة التنفيذية على ا</w:t>
      </w:r>
      <w:r>
        <w:rPr>
          <w:rFonts w:hint="cs"/>
          <w:b/>
          <w:bCs/>
          <w:sz w:val="28"/>
          <w:szCs w:val="28"/>
          <w:rtl/>
        </w:rPr>
        <w:t>لإ</w:t>
      </w:r>
      <w:r w:rsidRPr="009371C9">
        <w:rPr>
          <w:rFonts w:hint="cs"/>
          <w:b/>
          <w:bCs/>
          <w:sz w:val="28"/>
          <w:szCs w:val="28"/>
          <w:rtl/>
        </w:rPr>
        <w:t>ستقلال العضوي للقضاة</w:t>
      </w:r>
    </w:p>
    <w:p w:rsidR="005A6E75" w:rsidRPr="008503E2" w:rsidRDefault="005A6E75" w:rsidP="005A6E75">
      <w:pPr>
        <w:bidi/>
        <w:rPr>
          <w:sz w:val="28"/>
          <w:szCs w:val="28"/>
          <w:rtl/>
        </w:rPr>
      </w:pPr>
      <w:r w:rsidRPr="008503E2">
        <w:rPr>
          <w:rFonts w:hint="cs"/>
          <w:b/>
          <w:bCs/>
          <w:sz w:val="28"/>
          <w:szCs w:val="28"/>
          <w:rtl/>
        </w:rPr>
        <w:t xml:space="preserve">الفرع الأول: </w:t>
      </w:r>
      <w:r>
        <w:rPr>
          <w:rFonts w:hint="cs"/>
          <w:b/>
          <w:bCs/>
          <w:sz w:val="28"/>
          <w:szCs w:val="28"/>
          <w:rtl/>
        </w:rPr>
        <w:t>تعيين القضاة يخضع للإرادة المنفردة للسلطة التنفيذية ممثلة في رئيس الجمهورية .</w:t>
      </w:r>
    </w:p>
    <w:p w:rsidR="005A6E75" w:rsidRPr="00B46EC4" w:rsidRDefault="005A6E75" w:rsidP="005A6E75">
      <w:pPr>
        <w:bidi/>
        <w:rPr>
          <w:b/>
          <w:bCs/>
          <w:sz w:val="28"/>
          <w:szCs w:val="28"/>
          <w:rtl/>
        </w:rPr>
      </w:pPr>
      <w:r w:rsidRPr="00B46EC4">
        <w:rPr>
          <w:rFonts w:hint="cs"/>
          <w:b/>
          <w:bCs/>
          <w:sz w:val="28"/>
          <w:szCs w:val="28"/>
          <w:rtl/>
        </w:rPr>
        <w:t>الفرع الثاني: رئيس الجمهورية رئيس المجلس الأعلى للقضاء</w:t>
      </w:r>
    </w:p>
    <w:p w:rsidR="005A6E75" w:rsidRPr="00305475" w:rsidRDefault="005A6E75" w:rsidP="005A6E75">
      <w:pPr>
        <w:bidi/>
        <w:rPr>
          <w:b/>
          <w:bCs/>
          <w:sz w:val="28"/>
          <w:szCs w:val="28"/>
          <w:rtl/>
        </w:rPr>
      </w:pPr>
      <w:r w:rsidRPr="00305475">
        <w:rPr>
          <w:rFonts w:hint="cs"/>
          <w:b/>
          <w:bCs/>
          <w:sz w:val="28"/>
          <w:szCs w:val="28"/>
          <w:rtl/>
        </w:rPr>
        <w:t xml:space="preserve">المطلب الثاني: محدودية الضمانات الكفيلة بحماية </w:t>
      </w:r>
      <w:r>
        <w:rPr>
          <w:rFonts w:hint="cs"/>
          <w:b/>
          <w:bCs/>
          <w:sz w:val="28"/>
          <w:szCs w:val="28"/>
          <w:rtl/>
        </w:rPr>
        <w:t>إ</w:t>
      </w:r>
      <w:r w:rsidRPr="00305475">
        <w:rPr>
          <w:rFonts w:hint="cs"/>
          <w:b/>
          <w:bCs/>
          <w:sz w:val="28"/>
          <w:szCs w:val="28"/>
          <w:rtl/>
        </w:rPr>
        <w:t xml:space="preserve">ستقلالية </w:t>
      </w:r>
      <w:r>
        <w:rPr>
          <w:rFonts w:hint="cs"/>
          <w:b/>
          <w:bCs/>
          <w:sz w:val="28"/>
          <w:szCs w:val="28"/>
          <w:rtl/>
        </w:rPr>
        <w:t>القضاة</w:t>
      </w:r>
    </w:p>
    <w:p w:rsidR="005A6E75" w:rsidRPr="00677ABB" w:rsidRDefault="005A6E75" w:rsidP="005A6E75">
      <w:pPr>
        <w:bidi/>
        <w:rPr>
          <w:b/>
          <w:bCs/>
          <w:sz w:val="28"/>
          <w:szCs w:val="28"/>
          <w:rtl/>
        </w:rPr>
      </w:pPr>
      <w:r w:rsidRPr="00677ABB">
        <w:rPr>
          <w:rFonts w:hint="cs"/>
          <w:b/>
          <w:bCs/>
          <w:sz w:val="28"/>
          <w:szCs w:val="28"/>
          <w:rtl/>
        </w:rPr>
        <w:t>الفرع الأول: ضمانة عدم القابلية للعزل</w:t>
      </w:r>
    </w:p>
    <w:p w:rsidR="005A6E75" w:rsidRDefault="005A6E75" w:rsidP="005A6E75">
      <w:pPr>
        <w:bidi/>
        <w:rPr>
          <w:lang w:val="en-US"/>
        </w:rPr>
      </w:pPr>
      <w:r w:rsidRPr="00A96AFE">
        <w:rPr>
          <w:rFonts w:hint="cs"/>
          <w:b/>
          <w:bCs/>
          <w:sz w:val="28"/>
          <w:szCs w:val="28"/>
          <w:rtl/>
        </w:rPr>
        <w:t xml:space="preserve">الفرع الثاني: ضعف ضمانات </w:t>
      </w:r>
      <w:r>
        <w:rPr>
          <w:rFonts w:hint="cs"/>
          <w:b/>
          <w:bCs/>
          <w:sz w:val="28"/>
          <w:szCs w:val="28"/>
          <w:rtl/>
        </w:rPr>
        <w:t>إ</w:t>
      </w:r>
      <w:r w:rsidRPr="00A96AFE">
        <w:rPr>
          <w:rFonts w:hint="cs"/>
          <w:b/>
          <w:bCs/>
          <w:sz w:val="28"/>
          <w:szCs w:val="28"/>
          <w:rtl/>
        </w:rPr>
        <w:t>ستقلال القضاء من الجانب المالي والإداري</w:t>
      </w:r>
    </w:p>
    <w:p w:rsidR="005A6E75" w:rsidRPr="00157267" w:rsidRDefault="005A6E75" w:rsidP="005A6E75">
      <w:pPr>
        <w:bidi/>
        <w:rPr>
          <w:b/>
          <w:bCs/>
          <w:sz w:val="28"/>
          <w:szCs w:val="28"/>
          <w:rtl/>
        </w:rPr>
      </w:pPr>
      <w:r w:rsidRPr="00157267">
        <w:rPr>
          <w:rFonts w:hint="cs"/>
          <w:b/>
          <w:bCs/>
          <w:sz w:val="28"/>
          <w:szCs w:val="28"/>
          <w:rtl/>
        </w:rPr>
        <w:t>أولا: ا</w:t>
      </w:r>
      <w:r>
        <w:rPr>
          <w:rFonts w:hint="cs"/>
          <w:b/>
          <w:bCs/>
          <w:sz w:val="28"/>
          <w:szCs w:val="28"/>
          <w:rtl/>
        </w:rPr>
        <w:t>لإ</w:t>
      </w:r>
      <w:r w:rsidRPr="00157267">
        <w:rPr>
          <w:rFonts w:hint="cs"/>
          <w:b/>
          <w:bCs/>
          <w:sz w:val="28"/>
          <w:szCs w:val="28"/>
          <w:rtl/>
        </w:rPr>
        <w:t>ستقلال الإداري</w:t>
      </w:r>
    </w:p>
    <w:p w:rsidR="005A6E75" w:rsidRPr="005A6E75" w:rsidRDefault="005A6E75" w:rsidP="005A6E75">
      <w:pPr>
        <w:bidi/>
        <w:rPr>
          <w:b/>
          <w:bCs/>
          <w:sz w:val="28"/>
          <w:szCs w:val="28"/>
        </w:rPr>
      </w:pPr>
      <w:r w:rsidRPr="009E5B9D">
        <w:rPr>
          <w:rFonts w:hint="cs"/>
          <w:b/>
          <w:bCs/>
          <w:sz w:val="28"/>
          <w:szCs w:val="28"/>
          <w:rtl/>
        </w:rPr>
        <w:t>ثانيا</w:t>
      </w:r>
      <w:r w:rsidRPr="005A6E75">
        <w:rPr>
          <w:rFonts w:hint="cs"/>
          <w:b/>
          <w:bCs/>
          <w:sz w:val="28"/>
          <w:szCs w:val="28"/>
          <w:rtl/>
        </w:rPr>
        <w:t xml:space="preserve"> </w:t>
      </w:r>
      <w:r w:rsidRPr="009E5B9D">
        <w:rPr>
          <w:rFonts w:hint="cs"/>
          <w:b/>
          <w:bCs/>
          <w:sz w:val="28"/>
          <w:szCs w:val="28"/>
          <w:rtl/>
        </w:rPr>
        <w:t>: ا</w:t>
      </w:r>
      <w:r>
        <w:rPr>
          <w:rFonts w:hint="cs"/>
          <w:b/>
          <w:bCs/>
          <w:sz w:val="28"/>
          <w:szCs w:val="28"/>
          <w:rtl/>
        </w:rPr>
        <w:t>لإ</w:t>
      </w:r>
      <w:r w:rsidRPr="009E5B9D">
        <w:rPr>
          <w:rFonts w:hint="cs"/>
          <w:b/>
          <w:bCs/>
          <w:sz w:val="28"/>
          <w:szCs w:val="28"/>
          <w:rtl/>
        </w:rPr>
        <w:t>ستقلال المالي</w:t>
      </w:r>
    </w:p>
    <w:p w:rsidR="005A6E75" w:rsidRDefault="005A6E75" w:rsidP="005A6E75">
      <w:pPr>
        <w:bidi/>
        <w:rPr>
          <w:lang w:val="en-US"/>
        </w:rPr>
      </w:pPr>
      <w:r w:rsidRPr="001365BA">
        <w:rPr>
          <w:rFonts w:hint="cs"/>
          <w:b/>
          <w:bCs/>
          <w:sz w:val="28"/>
          <w:szCs w:val="28"/>
          <w:rtl/>
        </w:rPr>
        <w:lastRenderedPageBreak/>
        <w:t>الفرع الثالث: الضمانات القانونية لحماية حقوق وواجبات القاضي</w:t>
      </w:r>
    </w:p>
    <w:p w:rsidR="005A6E75" w:rsidRDefault="005A6E75" w:rsidP="005A6E75">
      <w:pPr>
        <w:bidi/>
        <w:rPr>
          <w:lang w:val="en-US"/>
        </w:rPr>
      </w:pPr>
      <w:r w:rsidRPr="001365BA">
        <w:rPr>
          <w:rFonts w:hint="cs"/>
          <w:b/>
          <w:bCs/>
          <w:sz w:val="28"/>
          <w:szCs w:val="28"/>
          <w:rtl/>
        </w:rPr>
        <w:t>أولا</w:t>
      </w:r>
      <w:r>
        <w:rPr>
          <w:rFonts w:hint="cs"/>
          <w:b/>
          <w:bCs/>
          <w:sz w:val="28"/>
          <w:szCs w:val="28"/>
          <w:rtl/>
        </w:rPr>
        <w:t>:</w:t>
      </w:r>
      <w:r w:rsidRPr="001365BA">
        <w:rPr>
          <w:rFonts w:hint="cs"/>
          <w:b/>
          <w:bCs/>
          <w:sz w:val="28"/>
          <w:szCs w:val="28"/>
          <w:rtl/>
        </w:rPr>
        <w:t xml:space="preserve"> حقوق القاضي</w:t>
      </w:r>
    </w:p>
    <w:p w:rsidR="00D43311" w:rsidRDefault="005A6E75" w:rsidP="005A6E75">
      <w:pPr>
        <w:bidi/>
        <w:rPr>
          <w:lang w:val="en-US"/>
        </w:rPr>
      </w:pPr>
      <w:r w:rsidRPr="004A675F">
        <w:rPr>
          <w:rFonts w:hint="cs"/>
          <w:b/>
          <w:bCs/>
          <w:sz w:val="28"/>
          <w:szCs w:val="28"/>
          <w:rtl/>
        </w:rPr>
        <w:t>ثاني</w:t>
      </w:r>
      <w:r>
        <w:rPr>
          <w:rFonts w:ascii="Arial" w:hAnsi="Arial" w:hint="cs"/>
          <w:b/>
          <w:bCs/>
          <w:sz w:val="28"/>
          <w:szCs w:val="28"/>
          <w:rtl/>
        </w:rPr>
        <w:t>ا</w:t>
      </w:r>
      <w:r w:rsidRPr="004A675F">
        <w:rPr>
          <w:rFonts w:hint="cs"/>
          <w:b/>
          <w:bCs/>
          <w:sz w:val="28"/>
          <w:szCs w:val="28"/>
          <w:rtl/>
        </w:rPr>
        <w:t>: واجبات القاضي</w:t>
      </w:r>
    </w:p>
    <w:p w:rsidR="00D43311" w:rsidRDefault="00D43311" w:rsidP="00D43311">
      <w:pPr>
        <w:bidi/>
        <w:rPr>
          <w:lang w:val="en-US"/>
        </w:rPr>
      </w:pPr>
      <w:r w:rsidRPr="00F32950">
        <w:rPr>
          <w:rFonts w:hint="cs"/>
          <w:b/>
          <w:bCs/>
          <w:sz w:val="28"/>
          <w:szCs w:val="28"/>
          <w:rtl/>
          <w:lang w:bidi="ar-DZ"/>
        </w:rPr>
        <w:t>الفصل الثاني: مركز السلطة القضائية من الناحية الوظيفية</w:t>
      </w:r>
    </w:p>
    <w:p w:rsidR="00D43311" w:rsidRPr="00EA001E" w:rsidRDefault="00D43311" w:rsidP="00D43311">
      <w:pPr>
        <w:tabs>
          <w:tab w:val="left" w:pos="2097"/>
          <w:tab w:val="right" w:pos="9072"/>
        </w:tabs>
        <w:bidi/>
        <w:jc w:val="both"/>
        <w:rPr>
          <w:rFonts w:hint="cs"/>
          <w:b/>
          <w:bCs/>
          <w:sz w:val="28"/>
          <w:szCs w:val="28"/>
          <w:rtl/>
          <w:lang w:bidi="ar-DZ"/>
        </w:rPr>
      </w:pPr>
      <w:r w:rsidRPr="00EA001E">
        <w:rPr>
          <w:rFonts w:hint="cs"/>
          <w:b/>
          <w:bCs/>
          <w:sz w:val="28"/>
          <w:szCs w:val="28"/>
          <w:rtl/>
          <w:lang w:bidi="ar-DZ"/>
        </w:rPr>
        <w:t xml:space="preserve">المبحث الأول: </w:t>
      </w:r>
      <w:r>
        <w:rPr>
          <w:rFonts w:hint="cs"/>
          <w:b/>
          <w:bCs/>
          <w:sz w:val="28"/>
          <w:szCs w:val="28"/>
          <w:rtl/>
          <w:lang w:bidi="ar-DZ"/>
        </w:rPr>
        <w:t>إ</w:t>
      </w:r>
      <w:r w:rsidRPr="00EA001E">
        <w:rPr>
          <w:rFonts w:hint="cs"/>
          <w:b/>
          <w:bCs/>
          <w:sz w:val="28"/>
          <w:szCs w:val="28"/>
          <w:rtl/>
          <w:lang w:bidi="ar-DZ"/>
        </w:rPr>
        <w:t>نعدام ا</w:t>
      </w:r>
      <w:r>
        <w:rPr>
          <w:rFonts w:hint="cs"/>
          <w:b/>
          <w:bCs/>
          <w:sz w:val="28"/>
          <w:szCs w:val="28"/>
          <w:rtl/>
          <w:lang w:bidi="ar-DZ"/>
        </w:rPr>
        <w:t>لإ</w:t>
      </w:r>
      <w:r w:rsidRPr="00EA001E">
        <w:rPr>
          <w:rFonts w:hint="cs"/>
          <w:b/>
          <w:bCs/>
          <w:sz w:val="28"/>
          <w:szCs w:val="28"/>
          <w:rtl/>
          <w:lang w:bidi="ar-DZ"/>
        </w:rPr>
        <w:t xml:space="preserve">ستقلال </w:t>
      </w:r>
      <w:r>
        <w:rPr>
          <w:rFonts w:hint="cs"/>
          <w:b/>
          <w:bCs/>
          <w:sz w:val="28"/>
          <w:szCs w:val="28"/>
          <w:rtl/>
          <w:lang w:bidi="ar-DZ"/>
        </w:rPr>
        <w:t>الوظيفي للقضاة في دستوري 1963 و</w:t>
      </w:r>
      <w:r w:rsidRPr="00EA001E">
        <w:rPr>
          <w:rFonts w:hint="cs"/>
          <w:b/>
          <w:bCs/>
          <w:sz w:val="28"/>
          <w:szCs w:val="28"/>
          <w:rtl/>
          <w:lang w:bidi="ar-DZ"/>
        </w:rPr>
        <w:t>1976</w:t>
      </w:r>
    </w:p>
    <w:p w:rsidR="00D43311" w:rsidRPr="00242300" w:rsidRDefault="00D43311" w:rsidP="00D43311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242300">
        <w:rPr>
          <w:rFonts w:hint="cs"/>
          <w:b/>
          <w:bCs/>
          <w:sz w:val="28"/>
          <w:szCs w:val="28"/>
          <w:rtl/>
          <w:lang w:bidi="ar-DZ"/>
        </w:rPr>
        <w:t>المطلب الأول: القضاة بين تطبيق القانون وخدمة الثورة الاشتراكية</w:t>
      </w:r>
    </w:p>
    <w:p w:rsidR="00D43311" w:rsidRDefault="00D43311" w:rsidP="00D43311">
      <w:pPr>
        <w:bidi/>
        <w:rPr>
          <w:lang w:val="en-US" w:bidi="ar-DZ"/>
        </w:rPr>
      </w:pPr>
      <w:r w:rsidRPr="00056332">
        <w:rPr>
          <w:rFonts w:hint="cs"/>
          <w:b/>
          <w:bCs/>
          <w:sz w:val="28"/>
          <w:szCs w:val="28"/>
          <w:rtl/>
          <w:lang w:bidi="ar-DZ"/>
        </w:rPr>
        <w:t>الفرع الأول: تكبيل القضاة باليمين التي يؤدونها.</w:t>
      </w:r>
    </w:p>
    <w:p w:rsidR="00D43311" w:rsidRDefault="00D43311" w:rsidP="00D43311">
      <w:pPr>
        <w:bidi/>
        <w:jc w:val="both"/>
        <w:rPr>
          <w:b/>
          <w:bCs/>
          <w:sz w:val="28"/>
          <w:szCs w:val="28"/>
          <w:rtl/>
          <w:lang w:bidi="ar-DZ"/>
        </w:rPr>
      </w:pPr>
      <w:r w:rsidRPr="00B223FB">
        <w:rPr>
          <w:rFonts w:hint="cs"/>
          <w:b/>
          <w:bCs/>
          <w:sz w:val="28"/>
          <w:szCs w:val="28"/>
          <w:rtl/>
          <w:lang w:bidi="ar-DZ"/>
        </w:rPr>
        <w:t>الفرع الثاني: تسييس قضاة المحاكم الجنائية لغرض خدمة السلطة</w:t>
      </w:r>
    </w:p>
    <w:p w:rsidR="0067572F" w:rsidRPr="00562FB3" w:rsidRDefault="0067572F" w:rsidP="0067572F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562FB3">
        <w:rPr>
          <w:rFonts w:hint="cs"/>
          <w:b/>
          <w:bCs/>
          <w:sz w:val="28"/>
          <w:szCs w:val="28"/>
          <w:rtl/>
          <w:lang w:bidi="ar-DZ"/>
        </w:rPr>
        <w:t>المطلب الثاني: الرقابة القضائية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على </w:t>
      </w:r>
      <w:r w:rsidRPr="00562FB3">
        <w:rPr>
          <w:rFonts w:hint="cs"/>
          <w:b/>
          <w:bCs/>
          <w:sz w:val="28"/>
          <w:szCs w:val="28"/>
          <w:rtl/>
          <w:lang w:bidi="ar-DZ"/>
        </w:rPr>
        <w:t>دستورية القوانين</w:t>
      </w:r>
    </w:p>
    <w:p w:rsidR="0067572F" w:rsidRPr="00015B04" w:rsidRDefault="0067572F" w:rsidP="0067572F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015B04">
        <w:rPr>
          <w:rFonts w:hint="cs"/>
          <w:b/>
          <w:bCs/>
          <w:sz w:val="28"/>
          <w:szCs w:val="28"/>
          <w:rtl/>
          <w:lang w:bidi="ar-DZ"/>
        </w:rPr>
        <w:t>الفرع الأول: تراجع مساهمة السلطة القضائية في تشكيلة المجلس الدستوري</w:t>
      </w:r>
    </w:p>
    <w:p w:rsidR="0067572F" w:rsidRDefault="0067572F" w:rsidP="0067572F">
      <w:pPr>
        <w:bidi/>
        <w:rPr>
          <w:b/>
          <w:bCs/>
          <w:sz w:val="28"/>
          <w:szCs w:val="28"/>
          <w:rtl/>
          <w:lang w:bidi="ar-DZ"/>
        </w:rPr>
      </w:pPr>
      <w:r w:rsidRPr="00C81410">
        <w:rPr>
          <w:rFonts w:hint="cs"/>
          <w:b/>
          <w:bCs/>
          <w:sz w:val="28"/>
          <w:szCs w:val="28"/>
          <w:rtl/>
          <w:lang w:bidi="ar-DZ"/>
        </w:rPr>
        <w:t>الفرع الثاني: حرمان السلطة القضائية من حق إخطار المجلس الدستوري</w:t>
      </w:r>
    </w:p>
    <w:p w:rsidR="0067572F" w:rsidRPr="001E76DC" w:rsidRDefault="0067572F" w:rsidP="0067572F">
      <w:pPr>
        <w:bidi/>
        <w:rPr>
          <w:rFonts w:hint="cs"/>
          <w:sz w:val="28"/>
          <w:szCs w:val="28"/>
          <w:rtl/>
          <w:lang w:bidi="ar-DZ"/>
        </w:rPr>
      </w:pPr>
      <w:r w:rsidRPr="001C7633">
        <w:rPr>
          <w:rFonts w:hint="cs"/>
          <w:b/>
          <w:bCs/>
          <w:sz w:val="28"/>
          <w:szCs w:val="28"/>
          <w:rtl/>
          <w:lang w:bidi="ar-DZ"/>
        </w:rPr>
        <w:t>المبحث الثاني:طبيعة العلاقة الوظيفية بين السلطة القضائية وباقي السلطات</w:t>
      </w:r>
    </w:p>
    <w:p w:rsidR="0067572F" w:rsidRDefault="0067572F" w:rsidP="0067572F">
      <w:pPr>
        <w:bidi/>
        <w:rPr>
          <w:lang w:val="en-US" w:bidi="ar-DZ"/>
        </w:rPr>
      </w:pPr>
      <w:r w:rsidRPr="0047054F">
        <w:rPr>
          <w:rFonts w:hint="cs"/>
          <w:b/>
          <w:bCs/>
          <w:sz w:val="28"/>
          <w:szCs w:val="28"/>
          <w:rtl/>
          <w:lang w:bidi="ar-DZ"/>
        </w:rPr>
        <w:t>المطلب الأول: علاقة الجهات القضائية بالجهاز التشريعي</w:t>
      </w:r>
    </w:p>
    <w:p w:rsidR="0067572F" w:rsidRPr="00A432C0" w:rsidRDefault="0067572F" w:rsidP="0067572F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A432C0">
        <w:rPr>
          <w:rFonts w:hint="cs"/>
          <w:b/>
          <w:bCs/>
          <w:sz w:val="28"/>
          <w:szCs w:val="28"/>
          <w:rtl/>
          <w:lang w:bidi="ar-DZ"/>
        </w:rPr>
        <w:t>الفرع</w:t>
      </w:r>
      <w:r>
        <w:rPr>
          <w:rFonts w:hint="cs"/>
          <w:b/>
          <w:bCs/>
          <w:sz w:val="28"/>
          <w:szCs w:val="28"/>
          <w:rtl/>
          <w:lang w:bidi="ar-DZ"/>
        </w:rPr>
        <w:t xml:space="preserve"> الأول</w:t>
      </w:r>
      <w:r w:rsidRPr="00A432C0">
        <w:rPr>
          <w:rFonts w:hint="cs"/>
          <w:b/>
          <w:bCs/>
          <w:sz w:val="28"/>
          <w:szCs w:val="28"/>
          <w:rtl/>
          <w:lang w:bidi="ar-DZ"/>
        </w:rPr>
        <w:t>: تأثير السلطة التشريعية على الجهاز القضائي</w:t>
      </w:r>
    </w:p>
    <w:p w:rsidR="0067572F" w:rsidRDefault="0067572F" w:rsidP="0067572F">
      <w:pPr>
        <w:bidi/>
        <w:rPr>
          <w:lang w:val="en-US" w:bidi="ar-DZ"/>
        </w:rPr>
      </w:pPr>
      <w:r w:rsidRPr="001547B0">
        <w:rPr>
          <w:rFonts w:hint="cs"/>
          <w:b/>
          <w:bCs/>
          <w:sz w:val="28"/>
          <w:szCs w:val="28"/>
          <w:rtl/>
          <w:lang w:bidi="ar-DZ"/>
        </w:rPr>
        <w:t>الفرع الثاني: مجال مساهم القضاء في العمل التشريعي</w:t>
      </w:r>
    </w:p>
    <w:p w:rsidR="007520E5" w:rsidRDefault="0067572F" w:rsidP="0067572F">
      <w:pPr>
        <w:bidi/>
        <w:rPr>
          <w:lang w:val="en-US" w:bidi="ar-DZ"/>
        </w:rPr>
      </w:pPr>
      <w:r w:rsidRPr="00AD0F83">
        <w:rPr>
          <w:rFonts w:hint="cs"/>
          <w:b/>
          <w:bCs/>
          <w:sz w:val="28"/>
          <w:szCs w:val="28"/>
          <w:rtl/>
          <w:lang w:bidi="ar-DZ"/>
        </w:rPr>
        <w:t>المطلب الثاني: هيمنة السلطة التنفيذية على السلطة القضائية في ممارسة اختصاصاتها</w:t>
      </w:r>
    </w:p>
    <w:p w:rsidR="007520E5" w:rsidRPr="00AD0F83" w:rsidRDefault="007520E5" w:rsidP="007520E5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AD0F83">
        <w:rPr>
          <w:rFonts w:hint="cs"/>
          <w:b/>
          <w:bCs/>
          <w:sz w:val="28"/>
          <w:szCs w:val="28"/>
          <w:rtl/>
          <w:lang w:bidi="ar-DZ"/>
        </w:rPr>
        <w:t>الفرع الأول: إفلات الإدارة من تنفيذ الأحكام والقرارات القضائية</w:t>
      </w:r>
    </w:p>
    <w:p w:rsidR="007520E5" w:rsidRPr="0003603F" w:rsidRDefault="007520E5" w:rsidP="007520E5">
      <w:pPr>
        <w:tabs>
          <w:tab w:val="right" w:pos="9072"/>
        </w:tabs>
        <w:bidi/>
        <w:rPr>
          <w:rFonts w:hint="cs"/>
          <w:b/>
          <w:bCs/>
          <w:sz w:val="28"/>
          <w:szCs w:val="28"/>
          <w:rtl/>
          <w:lang w:bidi="ar-DZ"/>
        </w:rPr>
      </w:pPr>
      <w:r w:rsidRPr="0003603F">
        <w:rPr>
          <w:rFonts w:hint="cs"/>
          <w:b/>
          <w:bCs/>
          <w:sz w:val="28"/>
          <w:szCs w:val="28"/>
          <w:rtl/>
          <w:lang w:bidi="ar-DZ"/>
        </w:rPr>
        <w:t>الفرع الثاني: الرقابة القضائية على الأعمال المادية لل</w:t>
      </w:r>
      <w:r>
        <w:rPr>
          <w:rFonts w:hint="cs"/>
          <w:b/>
          <w:bCs/>
          <w:sz w:val="28"/>
          <w:szCs w:val="28"/>
          <w:rtl/>
          <w:lang w:bidi="ar-DZ"/>
        </w:rPr>
        <w:t>إ</w:t>
      </w:r>
      <w:r w:rsidRPr="0003603F">
        <w:rPr>
          <w:rFonts w:hint="cs"/>
          <w:b/>
          <w:bCs/>
          <w:sz w:val="28"/>
          <w:szCs w:val="28"/>
          <w:rtl/>
          <w:lang w:bidi="ar-DZ"/>
        </w:rPr>
        <w:t>دارة</w:t>
      </w:r>
    </w:p>
    <w:p w:rsidR="007520E5" w:rsidRDefault="007520E5" w:rsidP="007520E5">
      <w:pPr>
        <w:bidi/>
        <w:rPr>
          <w:lang w:val="en-US" w:bidi="ar-DZ"/>
        </w:rPr>
      </w:pPr>
      <w:r w:rsidRPr="001726FE">
        <w:rPr>
          <w:rFonts w:hint="cs"/>
          <w:b/>
          <w:bCs/>
          <w:sz w:val="28"/>
          <w:szCs w:val="28"/>
          <w:rtl/>
          <w:lang w:bidi="ar-DZ"/>
        </w:rPr>
        <w:t xml:space="preserve">أولا: أعمال السيادة تخرج من مجال </w:t>
      </w:r>
      <w:r>
        <w:rPr>
          <w:rFonts w:hint="cs"/>
          <w:b/>
          <w:bCs/>
          <w:sz w:val="28"/>
          <w:szCs w:val="28"/>
          <w:rtl/>
          <w:lang w:bidi="ar-DZ"/>
        </w:rPr>
        <w:t>إ</w:t>
      </w:r>
      <w:r w:rsidRPr="001726FE">
        <w:rPr>
          <w:rFonts w:hint="cs"/>
          <w:b/>
          <w:bCs/>
          <w:sz w:val="28"/>
          <w:szCs w:val="28"/>
          <w:rtl/>
          <w:lang w:bidi="ar-DZ"/>
        </w:rPr>
        <w:t>ختصاص القضاء</w:t>
      </w:r>
    </w:p>
    <w:p w:rsidR="007520E5" w:rsidRPr="00C37C4A" w:rsidRDefault="007520E5" w:rsidP="007520E5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C37C4A">
        <w:rPr>
          <w:rFonts w:hint="cs"/>
          <w:b/>
          <w:bCs/>
          <w:sz w:val="28"/>
          <w:szCs w:val="28"/>
          <w:rtl/>
          <w:lang w:bidi="ar-DZ"/>
        </w:rPr>
        <w:t>ثانيا: عدم إمكانية توجيه أوامر للإدارة من القاضي الإداري</w:t>
      </w:r>
    </w:p>
    <w:p w:rsidR="007520E5" w:rsidRPr="009E077D" w:rsidRDefault="007520E5" w:rsidP="007520E5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9E077D">
        <w:rPr>
          <w:rFonts w:hint="cs"/>
          <w:b/>
          <w:bCs/>
          <w:sz w:val="28"/>
          <w:szCs w:val="28"/>
          <w:rtl/>
          <w:lang w:bidi="ar-DZ"/>
        </w:rPr>
        <w:t>الفرع الثالث: التكريس المرحلي لفكرة المسؤولية الجزائية للشخص المعنوي</w:t>
      </w:r>
    </w:p>
    <w:p w:rsidR="007520E5" w:rsidRDefault="007520E5" w:rsidP="007520E5">
      <w:pPr>
        <w:bidi/>
        <w:rPr>
          <w:lang w:val="en-US" w:bidi="ar-DZ"/>
        </w:rPr>
      </w:pPr>
      <w:r w:rsidRPr="0070001C">
        <w:rPr>
          <w:rFonts w:hint="cs"/>
          <w:b/>
          <w:bCs/>
          <w:sz w:val="28"/>
          <w:szCs w:val="28"/>
          <w:rtl/>
          <w:lang w:bidi="ar-DZ"/>
        </w:rPr>
        <w:t>أولا: مرحلة عدم الإقرار</w:t>
      </w:r>
    </w:p>
    <w:p w:rsidR="007520E5" w:rsidRPr="00EC2C98" w:rsidRDefault="007520E5" w:rsidP="007520E5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EC2C98">
        <w:rPr>
          <w:rFonts w:hint="cs"/>
          <w:b/>
          <w:bCs/>
          <w:sz w:val="28"/>
          <w:szCs w:val="28"/>
          <w:rtl/>
          <w:lang w:bidi="ar-DZ"/>
        </w:rPr>
        <w:t>ثانيا: مرحلة التكريس الفعلي لمبدأ المسؤولية الجزائية</w:t>
      </w:r>
    </w:p>
    <w:p w:rsidR="007520E5" w:rsidRPr="00E719CF" w:rsidRDefault="007520E5" w:rsidP="007520E5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E719CF">
        <w:rPr>
          <w:rFonts w:hint="cs"/>
          <w:b/>
          <w:bCs/>
          <w:sz w:val="28"/>
          <w:szCs w:val="28"/>
          <w:rtl/>
          <w:lang w:bidi="ar-DZ"/>
        </w:rPr>
        <w:t>المطلب الثالث: دور السلطة في حماية الحقوق والحريات العامة</w:t>
      </w:r>
    </w:p>
    <w:p w:rsidR="007520E5" w:rsidRPr="005454BF" w:rsidRDefault="007520E5" w:rsidP="007520E5">
      <w:pPr>
        <w:bidi/>
        <w:rPr>
          <w:rFonts w:hint="cs"/>
          <w:b/>
          <w:bCs/>
          <w:sz w:val="28"/>
          <w:szCs w:val="28"/>
          <w:rtl/>
          <w:lang w:bidi="ar-DZ"/>
        </w:rPr>
      </w:pPr>
      <w:r w:rsidRPr="005454BF">
        <w:rPr>
          <w:rFonts w:hint="cs"/>
          <w:b/>
          <w:bCs/>
          <w:sz w:val="28"/>
          <w:szCs w:val="28"/>
          <w:rtl/>
          <w:lang w:bidi="ar-DZ"/>
        </w:rPr>
        <w:lastRenderedPageBreak/>
        <w:t>الفرع الأول: حماية الحقوق والحريات العامة في مواجهة الإدارة خلال الظروف العادية</w:t>
      </w:r>
    </w:p>
    <w:p w:rsidR="009F6EB6" w:rsidRPr="007520E5" w:rsidRDefault="00A3687B" w:rsidP="007520E5">
      <w:pPr>
        <w:bidi/>
        <w:rPr>
          <w:lang w:val="en-US" w:bidi="ar-DZ"/>
        </w:rPr>
      </w:pPr>
      <w:r w:rsidRPr="00FA3753">
        <w:rPr>
          <w:rFonts w:hint="cs"/>
          <w:b/>
          <w:bCs/>
          <w:sz w:val="28"/>
          <w:szCs w:val="28"/>
          <w:rtl/>
          <w:lang w:bidi="ar-DZ"/>
        </w:rPr>
        <w:t xml:space="preserve">الفرع الثاني: </w:t>
      </w:r>
      <w:r>
        <w:rPr>
          <w:rFonts w:hint="cs"/>
          <w:b/>
          <w:bCs/>
          <w:sz w:val="28"/>
          <w:szCs w:val="28"/>
          <w:rtl/>
          <w:lang w:bidi="ar-DZ"/>
        </w:rPr>
        <w:t>عناية</w:t>
      </w:r>
      <w:r w:rsidRPr="00FA3753">
        <w:rPr>
          <w:rFonts w:hint="cs"/>
          <w:b/>
          <w:bCs/>
          <w:sz w:val="28"/>
          <w:szCs w:val="28"/>
          <w:rtl/>
          <w:lang w:bidi="ar-DZ"/>
        </w:rPr>
        <w:t xml:space="preserve"> القضاء لفكرة الحقوق والحريات الأساسية خلال الظروف الاستثنائية</w:t>
      </w:r>
    </w:p>
    <w:sectPr w:rsidR="009F6EB6" w:rsidRPr="007520E5" w:rsidSect="001316F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412EB" w:rsidRDefault="004412EB" w:rsidP="005A6E75">
      <w:pPr>
        <w:spacing w:after="0" w:line="240" w:lineRule="auto"/>
      </w:pPr>
      <w:r>
        <w:separator/>
      </w:r>
    </w:p>
  </w:endnote>
  <w:endnote w:type="continuationSeparator" w:id="1">
    <w:p w:rsidR="004412EB" w:rsidRDefault="004412EB" w:rsidP="005A6E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412EB" w:rsidRDefault="004412EB" w:rsidP="005A6E75">
      <w:pPr>
        <w:spacing w:after="0" w:line="240" w:lineRule="auto"/>
      </w:pPr>
      <w:r>
        <w:separator/>
      </w:r>
    </w:p>
  </w:footnote>
  <w:footnote w:type="continuationSeparator" w:id="1">
    <w:p w:rsidR="004412EB" w:rsidRDefault="004412EB" w:rsidP="005A6E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D4E"/>
    <w:rsid w:val="001316FF"/>
    <w:rsid w:val="004412EB"/>
    <w:rsid w:val="005A6E75"/>
    <w:rsid w:val="0067572F"/>
    <w:rsid w:val="007520E5"/>
    <w:rsid w:val="00781D4E"/>
    <w:rsid w:val="009F6EB6"/>
    <w:rsid w:val="00A3687B"/>
    <w:rsid w:val="00C55F91"/>
    <w:rsid w:val="00D43311"/>
    <w:rsid w:val="00FE4A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16FF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FE4AAC"/>
    <w:pPr>
      <w:spacing w:after="160" w:line="259" w:lineRule="auto"/>
      <w:ind w:left="720"/>
      <w:contextualSpacing/>
      <w:jc w:val="right"/>
    </w:pPr>
    <w:rPr>
      <w:rFonts w:ascii="Calibri" w:eastAsia="Calibri" w:hAnsi="Calibri" w:cs="Arial"/>
      <w:lang w:eastAsia="en-US"/>
    </w:rPr>
  </w:style>
  <w:style w:type="paragraph" w:styleId="En-tte">
    <w:name w:val="header"/>
    <w:basedOn w:val="Normal"/>
    <w:link w:val="En-tteCar"/>
    <w:uiPriority w:val="99"/>
    <w:semiHidden/>
    <w:unhideWhenUsed/>
    <w:rsid w:val="005A6E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5A6E75"/>
  </w:style>
  <w:style w:type="paragraph" w:styleId="Pieddepage">
    <w:name w:val="footer"/>
    <w:basedOn w:val="Normal"/>
    <w:link w:val="PieddepageCar"/>
    <w:uiPriority w:val="99"/>
    <w:semiHidden/>
    <w:unhideWhenUsed/>
    <w:rsid w:val="005A6E75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5A6E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404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omsoft</dc:creator>
  <cp:keywords/>
  <dc:description/>
  <cp:lastModifiedBy>omsoft</cp:lastModifiedBy>
  <cp:revision>3</cp:revision>
  <dcterms:created xsi:type="dcterms:W3CDTF">2015-06-07T08:12:00Z</dcterms:created>
  <dcterms:modified xsi:type="dcterms:W3CDTF">2015-06-07T20:25:00Z</dcterms:modified>
</cp:coreProperties>
</file>